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comments.xml" ContentType="application/vnd.openxmlformats-officedocument.wordprocessingml.comment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40"/>
      </w:pPr>
      <w:r>
        <w:rPr>
          <w:rFonts w:ascii="Sora" w:cs="Sora" w:eastAsia="Sora" w:hAnsi="Sora"/>
          <w:b/>
          <w:bCs/>
          <w:color w:val="087E8B"/>
          <w:spacing w:val="30"/>
          <w:sz w:val="30"/>
          <w:szCs w:val="30"/>
        </w:rPr>
        <w:t xml:space="preserve">RENÉ </w:t>
      </w:r>
      <w:r>
        <w:rPr>
          <w:rFonts w:ascii="Sora" w:cs="Sora" w:eastAsia="Sora" w:hAnsi="Sora"/>
          <w:b/>
          <w:bCs/>
          <w:color w:val="202C33"/>
          <w:spacing w:val="30"/>
          <w:sz w:val="30"/>
          <w:szCs w:val="30"/>
        </w:rPr>
        <w:t xml:space="preserve">GLOBAL</w:t>
      </w:r>
    </w:p>
    <w:p>
      <w:pPr>
        <w:spacing w:after="0" w:before="60"/>
      </w:pPr>
      <w:r>
        <w:rPr>
          <w:rFonts w:ascii="Sora" w:cs="Sora" w:eastAsia="Sora" w:hAnsi="Sora"/>
          <w:b/>
          <w:bCs/>
          <w:color w:val="075762"/>
          <w:sz w:val="40"/>
          <w:szCs w:val="40"/>
        </w:rPr>
        <w:t xml:space="preserve">Guía para nombrar y organizar tus archivos migratorios</w:t>
      </w:r>
    </w:p>
    <w:p>
      <w:pPr>
        <w:pBdr>
          <w:bottom w:val="single" w:color="087E8B" w:sz="12" w:space="6"/>
        </w:pBdr>
        <w:spacing w:after="60" w:before="0"/>
      </w:pPr>
      <w:r>
        <w:rPr>
          <w:rFonts w:ascii="Sora" w:cs="Sora" w:eastAsia="Sora" w:hAnsi="Sora"/>
          <w:b/>
          <w:bCs/>
          <w:i w:val="false"/>
          <w:iCs w:val="false"/>
          <w:color w:val="087E8B"/>
          <w:sz w:val="26"/>
          <w:szCs w:val="26"/>
        </w:rPr>
        <w:t xml:space="preserve">How to Name &amp; Organize Your Immigration Files</w:t>
      </w:r>
    </w:p>
    <w:p>
      <w:pPr>
        <w:pBdr>
          <w:left w:val="single" w:color="087E8B" w:sz="16" w:space="12"/>
        </w:pBdr>
        <w:spacing w:after="160"/>
      </w:pPr>
      <w:r>
        <w:rPr>
          <w:b/>
          <w:color w:val="005461"/>
        </w:rPr>
        <w:t xml:space="preserve">Guía gratuita de René Global. </w:t>
      </w:r>
      <w:r>
        <w:rPr>
          <w:color w:val="545B60"/>
        </w:rPr>
        <w:t xml:space="preserve">Un sistema sencillo para localizar y revisar sus propios archivos con mayor facilidad. </w:t>
      </w:r>
      <w:r>
        <w:rPr>
          <w:color w:val="007F8D"/>
        </w:rPr>
        <w:t xml:space="preserve">  |  </w:t>
      </w:r>
      <w:r>
        <w:rPr>
          <w:b/>
          <w:color w:val="007F8D"/>
        </w:rPr>
        <w:t xml:space="preserve">A free René Global guide. </w:t>
      </w:r>
      <w:r>
        <w:rPr>
          <w:i/>
          <w:color w:val="545B60"/>
        </w:rPr>
        <w:t>A simple system for locating and reviewing your own files more easily.</w:t>
      </w:r>
    </w:p>
    <w:p>
      <w:pPr>
        <w:spacing w:after="60" w:before="240"/>
      </w:pPr>
      <w:r>
        <w:rPr>
          <w:rFonts w:ascii="Sora" w:cs="Sora" w:eastAsia="Sora" w:hAnsi="Sora"/>
          <w:b/>
          <w:bCs/>
          <w:color w:val="075762"/>
          <w:sz w:val="26"/>
          <w:szCs w:val="26"/>
        </w:rPr>
        <w:t xml:space="preserve">Por qué importa</w:t>
      </w:r>
      <w:r>
        <w:rPr>
          <w:rFonts w:ascii="Sora" w:cs="Sora" w:eastAsia="Sora" w:hAnsi="Sora"/>
          <w:b/>
          <w:bCs/>
          <w:color w:val="087E8B"/>
          <w:sz w:val="19"/>
          <w:szCs w:val="19"/>
        </w:rPr>
        <w:t xml:space="preserve">  ·  Why this matters</w:t>
      </w:r>
    </w:p>
    <w:p>
      <w:pPr>
        <w:spacing w:after="40"/>
      </w:pPr>
      <w:r>
        <w:rPr>
          <w:color w:val="545B60"/>
        </w:rPr>
        <w:t>Un asunto migratorio puede generar muchos documentos. Cuando cada archivo tiene un nombre claro y un lugar fijo, resulta más fácil localizar sus registros y prepararse para una cita o consulta.</w:t>
      </w:r>
    </w:p>
    <w:p>
      <w:pPr>
        <w:spacing w:after="140"/>
      </w:pPr>
      <w:r>
        <w:rPr>
          <w:color w:val="545B60"/>
        </w:rPr>
        <w:t>An immigration matter can produce many documents. When each file has a clear name and a consistent location, it is easier to find your records and prepare for an appointment or consultation.</w:t>
      </w:r>
    </w:p>
    <w:p>
      <w:pPr>
        <w:spacing w:after="60" w:before="240"/>
      </w:pPr>
      <w:r>
        <w:rPr>
          <w:rFonts w:ascii="Sora" w:cs="Sora" w:eastAsia="Sora" w:hAnsi="Sora"/>
          <w:b/>
          <w:bCs/>
          <w:color w:val="075762"/>
          <w:sz w:val="26"/>
          <w:szCs w:val="26"/>
        </w:rPr>
        <w:t xml:space="preserve">Paso 1 — Una sola estructura de carpetas</w:t>
      </w:r>
      <w:r>
        <w:rPr>
          <w:rFonts w:ascii="Sora" w:cs="Sora" w:eastAsia="Sora" w:hAnsi="Sora"/>
          <w:b/>
          <w:bCs/>
          <w:color w:val="087E8B"/>
          <w:sz w:val="19"/>
          <w:szCs w:val="19"/>
        </w:rPr>
        <w:t xml:space="preserve">  ·  Step 1 — One folder structure</w:t>
      </w:r>
    </w:p>
    <w:p>
      <w:pPr>
        <w:spacing w:after="40"/>
      </w:pPr>
      <w:r>
        <w:rPr>
          <w:rFonts w:ascii="Atkinson Hyperlegible" w:cs="Atkinson Hyperlegible" w:eastAsia="Atkinson Hyperlegible" w:hAnsi="Atkinson Hyperlegible"/>
          <w:color w:val="202C33"/>
          <w:sz w:val="20"/>
          <w:szCs w:val="20"/>
        </w:rPr>
        <w:t xml:space="preserve">Cree una carpeta principal y las mismas subcarpetas para cada persona. Úsela igual en su computadora y en la nube.</w:t>
      </w:r>
    </w:p>
    <w:p>
      <w:pPr>
        <w:spacing w:after="140"/>
      </w:pPr>
      <w:r>
        <w:rPr>
          <w:rFonts w:ascii="Atkinson Hyperlegible" w:cs="Atkinson Hyperlegible" w:eastAsia="Atkinson Hyperlegible" w:hAnsi="Atkinson Hyperlegible"/>
          <w:i/>
          <w:iCs/>
          <w:color w:val="5B6469"/>
          <w:sz w:val="18"/>
          <w:szCs w:val="18"/>
        </w:rPr>
        <w:t xml:space="preserve">Create one main folder and the same subfolders for each person. Use it identically on your computer and in the cloud.</w:t>
      </w:r>
    </w:p>
    <w:tbl>
      <w:tblPr>
        <w:tblW w:type="dxa" w:w="10080"/>
        <w:tblBorders>
          <w:top w:val="single" w:color="D9D2C4" w:sz="4"/>
          <w:left w:val="single" w:color="087E8B" w:sz="16"/>
          <w:bottom w:val="single" w:color="D9D2C4" w:sz="4"/>
          <w:right w:val="single" w:color="D9D2C4" w:sz="4"/>
          <w:insideH w:val="single" w:color="D9D2C4" w:sz="4"/>
          <w:insideV w:val="single" w:color="D9D2C4" w:sz="4"/>
        </w:tblBorders>
      </w:tblPr>
      <w:tblGrid>
        <w:gridCol w:w="10080"/>
      </w:tblGrid>
      <w:tr>
        <w:tc>
          <w:tcPr>
            <w:tcW w:type="dxa" w:w="10080"/>
            <w:tcMar>
              <w:top w:type="dxa" w:w="130"/>
              <w:left w:type="dxa" w:w="170"/>
              <w:bottom w:type="dxa" w:w="130"/>
              <w:right w:type="dxa" w:w="170"/>
            </w:tcMar>
          </w:tcPr>
          <w:p>
            <w:pPr>
              <w:spacing w:after="0"/>
            </w:pPr>
            <w:r>
              <w:rPr>
                <w:b w:val="0"/>
                <w:i w:val="0"/>
                <w:color w:val="8A8F92"/>
                <w:sz w:val="17"/>
              </w:rPr>
              <w:t>Inmigracion/</w:t>
              <w:br/>
              <w:t xml:space="preserve">   |-- 01_Identidad</w:t>
              <w:br/>
              <w:t xml:space="preserve">   |-- 02_Correspondencia</w:t>
              <w:br/>
              <w:t xml:space="preserve">   |-- 03_Documentos_enviados</w:t>
              <w:br/>
              <w:t xml:space="preserve">   |-- 04_Fotografias_y_registros_personales</w:t>
              <w:br/>
              <w:t xml:space="preserve">   |-- 05_Traducciones</w:t>
              <w:br/>
              <w:t xml:space="preserve">   \-- 06_Organizacion</w:t>
            </w:r>
          </w:p>
        </w:tc>
      </w:tr>
    </w:tbl>
    <w:p>
      <w:pPr>
        <w:spacing w:after="60" w:before="240"/>
      </w:pPr>
      <w:r>
        <w:rPr>
          <w:rFonts w:ascii="Sora" w:cs="Sora" w:eastAsia="Sora" w:hAnsi="Sora"/>
          <w:b/>
          <w:bCs/>
          <w:color w:val="075762"/>
          <w:sz w:val="26"/>
          <w:szCs w:val="26"/>
        </w:rPr>
        <w:t xml:space="preserve">Paso 2 — Una fórmula para nombrar archivos</w:t>
      </w:r>
      <w:r>
        <w:rPr>
          <w:rFonts w:ascii="Sora" w:cs="Sora" w:eastAsia="Sora" w:hAnsi="Sora"/>
          <w:b/>
          <w:bCs/>
          <w:color w:val="087E8B"/>
          <w:sz w:val="19"/>
          <w:szCs w:val="19"/>
        </w:rPr>
        <w:t xml:space="preserve">  ·  Step 2 — One file-naming formula</w:t>
      </w:r>
    </w:p>
    <w:p>
      <w:pPr>
        <w:spacing w:after="40"/>
      </w:pPr>
      <w:r>
        <w:rPr>
          <w:rFonts w:ascii="Atkinson Hyperlegible" w:cs="Atkinson Hyperlegible" w:eastAsia="Atkinson Hyperlegible" w:hAnsi="Atkinson Hyperlegible"/>
          <w:color w:val="202C33"/>
          <w:sz w:val="20"/>
          <w:szCs w:val="20"/>
        </w:rPr>
        <w:t xml:space="preserve">Nombre cada archivo con esta fórmula. Empezar por la fecha (año-mes-día) hace que los archivos se ordenen solos.</w:t>
      </w:r>
    </w:p>
    <w:p>
      <w:pPr>
        <w:spacing w:after="140"/>
      </w:pPr>
      <w:r>
        <w:rPr>
          <w:rFonts w:ascii="Atkinson Hyperlegible" w:cs="Atkinson Hyperlegible" w:eastAsia="Atkinson Hyperlegible" w:hAnsi="Atkinson Hyperlegible"/>
          <w:i/>
          <w:iCs/>
          <w:color w:val="5B6469"/>
          <w:sz w:val="18"/>
          <w:szCs w:val="18"/>
        </w:rPr>
        <w:t xml:space="preserve">Name every file with this formula. Starting with the date (year-month-day) makes files sort themselves automatically.</w:t>
      </w:r>
    </w:p>
    <w:tbl>
      <w:tblPr>
        <w:tblW w:type="dxa" w:w="10080"/>
        <w:tblBorders>
          <w:top w:val="single" w:color="D9D2C4" w:sz="4"/>
          <w:left w:val="single" w:color="087E8B" w:sz="16"/>
          <w:bottom w:val="single" w:color="D9D2C4" w:sz="4"/>
          <w:right w:val="single" w:color="D9D2C4" w:sz="4"/>
          <w:insideH w:val="single" w:color="D9D2C4" w:sz="4"/>
          <w:insideV w:val="single" w:color="D9D2C4" w:sz="4"/>
        </w:tblBorders>
      </w:tblPr>
      <w:tblGrid>
        <w:gridCol w:w="10080"/>
      </w:tblGrid>
      <w:tr>
        <w:tc>
          <w:tcPr>
            <w:tcW w:type="dxa" w:w="10080"/>
            <w:tcMar>
              <w:top w:type="dxa" w:w="130"/>
              <w:left w:type="dxa" w:w="170"/>
              <w:bottom w:type="dxa" w:w="130"/>
              <w:right w:type="dxa" w:w="170"/>
            </w:tcMar>
          </w:tcPr>
          <w:p>
            <w:pPr>
              <w:spacing w:after="0"/>
            </w:pPr>
            <w:r>
              <w:rPr>
                <w:rFonts w:ascii="Consolas" w:cs="Consolas" w:eastAsia="Consolas" w:hAnsi="Consolas"/>
                <w:color w:val="202C33"/>
                <w:sz w:val="19"/>
                <w:szCs w:val="19"/>
              </w:rPr>
              <w:t xml:space="preserve">AAAA-MM-DD_Tipo_Persona_Descripción</w:t>
            </w:r>
          </w:p>
        </w:tc>
      </w:tr>
    </w:tbl>
    <w:p>
      <w:pPr>
        <w:spacing w:after="60" w:before="140"/>
      </w:pPr>
      <w:r>
        <w:rPr>
          <w:rFonts w:ascii="Sora" w:cs="Sora" w:eastAsia="Sora" w:hAnsi="Sora"/>
          <w:b/>
          <w:bCs/>
          <w:color w:val="075762"/>
          <w:sz w:val="18"/>
          <w:szCs w:val="18"/>
        </w:rPr>
        <w:t xml:space="preserve">Ejemplos</w:t>
      </w:r>
      <w:r>
        <w:rPr>
          <w:rFonts w:ascii="Atkinson Hyperlegible" w:cs="Atkinson Hyperlegible" w:eastAsia="Atkinson Hyperlegible" w:hAnsi="Atkinson Hyperlegible"/>
          <w:i/>
          <w:iCs/>
          <w:color w:val="5B6469"/>
          <w:sz w:val="16"/>
          <w:szCs w:val="16"/>
        </w:rPr>
        <w:t xml:space="preserve">   Examples</w:t>
      </w:r>
    </w:p>
    <w:tbl>
      <w:tblPr>
        <w:tblW w:type="dxa" w:w="10080"/>
        <w:tblBorders>
          <w:top w:val="single" w:color="D9D2C4" w:sz="4"/>
          <w:left w:val="single" w:color="087E8B" w:sz="16"/>
          <w:bottom w:val="single" w:color="D9D2C4" w:sz="4"/>
          <w:right w:val="single" w:color="D9D2C4" w:sz="4"/>
          <w:insideH w:val="single" w:color="D9D2C4" w:sz="4"/>
          <w:insideV w:val="single" w:color="D9D2C4" w:sz="4"/>
        </w:tblBorders>
      </w:tblPr>
      <w:tblGrid>
        <w:gridCol w:w="10080"/>
      </w:tblGrid>
      <w:tr>
        <w:tc>
          <w:tcPr>
            <w:tcW w:type="dxa" w:w="10080"/>
            <w:tcMar>
              <w:top w:type="dxa" w:w="130"/>
              <w:left w:type="dxa" w:w="170"/>
              <w:bottom w:type="dxa" w:w="130"/>
              <w:right w:type="dxa" w:w="170"/>
            </w:tcMar>
          </w:tcPr>
          <w:p>
            <w:pPr>
              <w:spacing w:after="0"/>
            </w:pPr>
            <w:r>
              <w:rPr>
                <w:b w:val="0"/>
                <w:i w:val="0"/>
                <w:color w:val="8A8F92"/>
                <w:sz w:val="17"/>
              </w:rPr>
              <w:t>2026-03-15_Aviso_USCIS_Maria.pdf</w:t>
              <w:br/>
              <w:t>2026-04-02_Pasaporte_Juan_Copia.pdf</w:t>
              <w:br/>
              <w:t>2026-05-10_Traduccion_ActaNacimiento_Maria.pdf</w:t>
            </w:r>
          </w:p>
        </w:tc>
      </w:tr>
    </w:tbl>
    <w:p>
      <w:pPr>
        <w:spacing w:after="40"/>
      </w:pPr>
      <w:r>
        <w:rPr>
          <w:rFonts w:ascii="Atkinson Hyperlegible" w:cs="Atkinson Hyperlegible" w:eastAsia="Atkinson Hyperlegible" w:hAnsi="Atkinson Hyperlegible"/>
          <w:color w:val="202C33"/>
          <w:sz w:val="20"/>
          <w:szCs w:val="20"/>
        </w:rPr>
        <w:t xml:space="preserve">Reglas simples: sin espacios (use guion bajo), sin acentos ni "ñ" en el nombre del archivo, y sin caracteres como / \ : * ? Estos pueden causar errores al subir archivos.</w:t>
      </w:r>
    </w:p>
    <w:p>
      <w:pPr>
        <w:spacing w:after="140"/>
      </w:pPr>
      <w:r>
        <w:rPr>
          <w:rFonts w:ascii="Atkinson Hyperlegible" w:cs="Atkinson Hyperlegible" w:eastAsia="Atkinson Hyperlegible" w:hAnsi="Atkinson Hyperlegible"/>
          <w:i/>
          <w:iCs/>
          <w:color w:val="5B6469"/>
          <w:sz w:val="18"/>
          <w:szCs w:val="18"/>
        </w:rPr>
        <w:t xml:space="preserve">Simple rules: no spaces (use underscores), no accents or "ñ" in the filename, and no characters like / \ : * ? — these can cause errors when uploading files.</w:t>
      </w:r>
    </w:p>
    <w:p>
      <w:pPr>
        <w:spacing w:after="60" w:before="240"/>
      </w:pPr>
      <w:r>
        <w:rPr>
          <w:rFonts w:ascii="Sora" w:cs="Sora" w:eastAsia="Sora" w:hAnsi="Sora"/>
          <w:b/>
          <w:bCs/>
          <w:color w:val="075762"/>
          <w:sz w:val="26"/>
          <w:szCs w:val="26"/>
        </w:rPr>
        <w:t xml:space="preserve">Paso 3 — Originales, copias y respaldos</w:t>
      </w:r>
      <w:r>
        <w:rPr>
          <w:rFonts w:ascii="Sora" w:cs="Sora" w:eastAsia="Sora" w:hAnsi="Sora"/>
          <w:b/>
          <w:bCs/>
          <w:color w:val="087E8B"/>
          <w:sz w:val="19"/>
          <w:szCs w:val="19"/>
        </w:rPr>
        <w:t xml:space="preserve">  ·  Step 3 — Originals, copies &amp; backups</w:t>
      </w:r>
    </w:p>
    <w:p>
      <w:pPr>
        <w:spacing w:after="40"/>
      </w:pPr>
      <w:r>
        <w:rPr>
          <w:color w:val="545B60"/>
        </w:rPr>
        <w:t>Guarde los documentos originales en un lugar seguro. Si crea copias digitales, protéjalas con una contraseña adecuada y use un servicio de almacenamiento en el que confíe. No cargue ni envíe documentos a René Global.</w:t>
      </w:r>
    </w:p>
    <w:p>
      <w:pPr>
        <w:spacing w:after="140"/>
      </w:pPr>
      <w:r>
        <w:rPr>
          <w:color w:val="545B60"/>
        </w:rPr>
        <w:t>Keep original documents in a secure place. If you create digital copies, protect them with an appropriate password and use a storage provider you trust. Do not upload or send documents to René Global.</w:t>
      </w:r>
    </w:p>
    <w:p>
      <w:pPr>
        <w:spacing w:after="60" w:before="240"/>
      </w:pPr>
      <w:r>
        <w:rPr>
          <w:rFonts w:ascii="Sora" w:cs="Sora" w:eastAsia="Sora" w:hAnsi="Sora"/>
          <w:b/>
          <w:bCs/>
          <w:color w:val="075762"/>
          <w:sz w:val="26"/>
          <w:szCs w:val="26"/>
        </w:rPr>
        <w:t xml:space="preserve">Paso 4 — Un índice sencillo</w:t>
      </w:r>
      <w:r>
        <w:rPr>
          <w:rFonts w:ascii="Sora" w:cs="Sora" w:eastAsia="Sora" w:hAnsi="Sora"/>
          <w:b/>
          <w:bCs/>
          <w:color w:val="087E8B"/>
          <w:sz w:val="19"/>
          <w:szCs w:val="19"/>
        </w:rPr>
        <w:t xml:space="preserve">  ·  Step 4 — A simple index</w:t>
      </w:r>
    </w:p>
    <w:p>
      <w:pPr>
        <w:spacing w:after="40"/>
      </w:pPr>
      <w:r>
        <w:rPr>
          <w:color w:val="545B60"/>
        </w:rPr>
        <w:t>Puede usar el "Inventario de documentos migratorios" de René Global como índice personal de lo que tiene, dónde está y qué fechas aparecen en cada documento. Esta herramienta no determina qué debe conservar, presentar ni cuándo debe actuar.</w:t>
      </w:r>
    </w:p>
    <w:p>
      <w:pPr>
        <w:spacing w:after="140"/>
      </w:pPr>
      <w:r>
        <w:rPr>
          <w:color w:val="545B60"/>
        </w:rPr>
        <w:t>You may use the René Global "Immigration Document Inventory" as a personal index of what you have, where it is, and dates shown on each document. This tool does not determine what you must keep or file, or when you must act.</w:t>
      </w:r>
    </w:p>
    <w:p>
      <w:pPr>
        <w:spacing w:after="60" w:before="240"/>
      </w:pPr>
      <w:r>
        <w:rPr>
          <w:rFonts w:ascii="Sora" w:cs="Sora" w:eastAsia="Sora" w:hAnsi="Sora"/>
          <w:b/>
          <w:bCs/>
          <w:color w:val="075762"/>
          <w:sz w:val="26"/>
          <w:szCs w:val="26"/>
        </w:rPr>
        <w:t xml:space="preserve">Lista de verificación</w:t>
      </w:r>
      <w:r>
        <w:rPr>
          <w:rFonts w:ascii="Sora" w:cs="Sora" w:eastAsia="Sora" w:hAnsi="Sora"/>
          <w:b/>
          <w:bCs/>
          <w:color w:val="087E8B"/>
          <w:sz w:val="19"/>
          <w:szCs w:val="19"/>
        </w:rPr>
        <w:t xml:space="preserve">  ·  Checklist</w:t>
      </w:r>
    </w:p>
    <w:p>
      <w:pPr>
        <w:spacing w:after="90"/>
        <w:ind w:left="120"/>
      </w:pPr>
      <w:r>
        <w:rPr>
          <w:rFonts w:ascii="Atkinson Hyperlegible" w:cs="Atkinson Hyperlegible" w:eastAsia="Atkinson Hyperlegible" w:hAnsi="Atkinson Hyperlegible"/>
          <w:color w:val="087E8B"/>
          <w:sz w:val="22"/>
          <w:szCs w:val="22"/>
        </w:rPr>
        <w:t xml:space="preserve">☐  </w:t>
      </w:r>
      <w:r>
        <w:rPr>
          <w:rFonts w:ascii="Atkinson Hyperlegible" w:cs="Atkinson Hyperlegible" w:eastAsia="Atkinson Hyperlegible" w:hAnsi="Atkinson Hyperlegible"/>
          <w:color w:val="202C33"/>
          <w:sz w:val="19"/>
          <w:szCs w:val="19"/>
        </w:rPr>
        <w:t xml:space="preserve">Creé mi estructura de carpetas  </w:t>
      </w:r>
      <w:r>
        <w:rPr>
          <w:rFonts w:ascii="Atkinson Hyperlegible" w:cs="Atkinson Hyperlegible" w:eastAsia="Atkinson Hyperlegible" w:hAnsi="Atkinson Hyperlegible"/>
          <w:i/>
          <w:iCs/>
          <w:color w:val="5B6469"/>
          <w:sz w:val="17"/>
          <w:szCs w:val="17"/>
        </w:rPr>
        <w:t xml:space="preserve">I created my folder structure</w:t>
      </w:r>
    </w:p>
    <w:p>
      <w:pPr>
        <w:spacing w:after="90"/>
        <w:ind w:left="120"/>
      </w:pPr>
      <w:r>
        <w:rPr>
          <w:rFonts w:ascii="Atkinson Hyperlegible" w:cs="Atkinson Hyperlegible" w:eastAsia="Atkinson Hyperlegible" w:hAnsi="Atkinson Hyperlegible"/>
          <w:color w:val="087E8B"/>
          <w:sz w:val="22"/>
          <w:szCs w:val="22"/>
        </w:rPr>
        <w:t xml:space="preserve">☐  </w:t>
      </w:r>
      <w:r>
        <w:rPr>
          <w:rFonts w:ascii="Atkinson Hyperlegible" w:cs="Atkinson Hyperlegible" w:eastAsia="Atkinson Hyperlegible" w:hAnsi="Atkinson Hyperlegible"/>
          <w:color w:val="202C33"/>
          <w:sz w:val="19"/>
          <w:szCs w:val="19"/>
        </w:rPr>
        <w:t xml:space="preserve">Uso la fórmula de nombres en todos los archivos  </w:t>
      </w:r>
      <w:r>
        <w:rPr>
          <w:rFonts w:ascii="Atkinson Hyperlegible" w:cs="Atkinson Hyperlegible" w:eastAsia="Atkinson Hyperlegible" w:hAnsi="Atkinson Hyperlegible"/>
          <w:i/>
          <w:iCs/>
          <w:color w:val="5B6469"/>
          <w:sz w:val="17"/>
          <w:szCs w:val="17"/>
        </w:rPr>
        <w:t xml:space="preserve">I use the naming formula on every file</w:t>
      </w:r>
    </w:p>
    <w:p>
      <w:pPr>
        <w:spacing w:after="90"/>
        <w:ind w:left="120"/>
      </w:pPr>
      <w:r>
        <w:rPr>
          <w:color w:val="545B60"/>
        </w:rPr>
        <w:t>☐  Protejo mis copias digitales  I protect my digital copies</w:t>
      </w:r>
    </w:p>
    <w:p>
      <w:pPr>
        <w:spacing w:after="90"/>
        <w:ind w:left="120"/>
      </w:pPr>
      <w:r>
        <w:rPr>
          <w:color w:val="545B60"/>
        </w:rPr>
        <w:t>☐  Uso un almacenamiento en el que confío  I use a storage provider I trust</w:t>
      </w:r>
    </w:p>
    <w:p>
      <w:pPr>
        <w:spacing w:after="90"/>
        <w:ind w:left="120"/>
      </w:pPr>
      <w:r>
        <w:rPr>
          <w:rFonts w:ascii="Atkinson Hyperlegible" w:cs="Atkinson Hyperlegible" w:eastAsia="Atkinson Hyperlegible" w:hAnsi="Atkinson Hyperlegible"/>
          <w:color w:val="087E8B"/>
          <w:sz w:val="22"/>
          <w:szCs w:val="22"/>
        </w:rPr>
        <w:t xml:space="preserve">☐  </w:t>
      </w:r>
      <w:r>
        <w:rPr>
          <w:rFonts w:ascii="Atkinson Hyperlegible" w:cs="Atkinson Hyperlegible" w:eastAsia="Atkinson Hyperlegible" w:hAnsi="Atkinson Hyperlegible"/>
          <w:color w:val="202C33"/>
          <w:sz w:val="19"/>
          <w:szCs w:val="19"/>
        </w:rPr>
        <w:t xml:space="preserve">Mantengo mi inventario actualizado  </w:t>
      </w:r>
      <w:r>
        <w:rPr>
          <w:rFonts w:ascii="Atkinson Hyperlegible" w:cs="Atkinson Hyperlegible" w:eastAsia="Atkinson Hyperlegible" w:hAnsi="Atkinson Hyperlegible"/>
          <w:i/>
          <w:iCs/>
          <w:color w:val="5B6469"/>
          <w:sz w:val="17"/>
          <w:szCs w:val="17"/>
        </w:rPr>
        <w:t xml:space="preserve">I keep my inventory up to date</w:t>
      </w:r>
    </w:p>
    <w:p>
      <w:pPr>
        <w:pBdr>
          <w:top w:val="single" w:color="D9D2C4" w:sz="4" w:space="8"/>
          <w:bottom w:val="single" w:color="D9D2C4" w:sz="4" w:space="8"/>
          <w:left w:val="single" w:color="E97862" w:sz="16" w:space="12"/>
          <w:right w:val="single" w:color="D9D2C4" w:sz="4" w:space="8"/>
        </w:pBdr>
        <w:spacing w:after="0" w:before="300"/>
      </w:pPr>
      <w:r>
        <w:rPr>
          <w:b/>
          <w:color w:val="ED735C"/>
          <w:sz w:val="14"/>
        </w:rPr>
        <w:t xml:space="preserve">Aviso importante  </w:t>
      </w:r>
      <w:r>
        <w:rPr>
          <w:color w:val="545B60"/>
          <w:sz w:val="14"/>
        </w:rPr>
        <w:t>Este documento es una herramienta educativa y de organización creada por René Global (Token Education LLC). No constituye asesoría legal. René Global no ofrece representación legal, preparación de formularios, evaluación de elegibilidad ni orientación individualizada. Esta guía no calcula fechas límite ni determina qué documentos debe conservar o presentar. No envíe archivos ni detalles de su caso a René Global. Para asesoría sobre su caso, consulte a un abogado de inmigración con licencia o a un representante acreditado por el Departamento de Justicia (DOJ).</w:t>
      </w:r>
      <w:r>
        <w:rPr>
          <w:b/>
          <w:color w:val="005461"/>
          <w:sz w:val="14"/>
        </w:rPr>
        <w:t xml:space="preserve">   Important notice  </w:t>
      </w:r>
      <w:r>
        <w:rPr>
          <w:i/>
          <w:color w:val="545B60"/>
          <w:sz w:val="14"/>
        </w:rPr>
        <w:t>This is an educational and organizational tool created by René Global (Token Education LLC). It is not legal advice. René Global does not provide legal representation, form preparation, eligibility evaluation, or individualized guidance. This guide does not calculate deadlines or determine which documents you must keep or file. Do not send files or case details to René Global. For advice about your case, consult a licensed immigration attorney or a DOJ-accredited representative.</w:t>
      </w:r>
    </w:p>
    <w:sectPr>
      <w:headerReference w:type="default" r:id="rId7"/>
      <w:footerReference w:type="default" r:id="rId8"/>
      <w:pgSz w:w="12240" w:h="15840" w:orient="portrait"/>
      <w:pgMar w:top="720" w:right="1080" w:bottom="720" w:left="108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9D2C4" w:sz="4" w:space="6"/>
      </w:pBdr>
      <w:jc w:val="center"/>
    </w:pPr>
    <w:r>
      <w:rPr>
        <w:rFonts w:ascii="Atkinson Hyperlegible" w:cs="Atkinson Hyperlegible" w:eastAsia="Atkinson Hyperlegible" w:hAnsi="Atkinson Hyperlegible"/>
        <w:color w:val="075762"/>
        <w:sz w:val="15"/>
        <w:szCs w:val="15"/>
      </w:rPr>
      <w:t xml:space="preserve">© 2026 Token Education LLC</w:t>
    </w:r>
    <w:r>
      <w:rPr>
        <w:rFonts w:ascii="Atkinson Hyperlegible" w:cs="Atkinson Hyperlegible" w:eastAsia="Atkinson Hyperlegible" w:hAnsi="Atkinson Hyperlegible"/>
        <w:color w:val="087E8B"/>
        <w:sz w:val="15"/>
        <w:szCs w:val="15"/>
      </w:rPr>
      <w:t xml:space="preserve">   ·   René Global   ·   </w:t>
    </w:r>
    <w:r>
      <w:rPr>
        <w:rFonts w:ascii="Atkinson Hyperlegible" w:cs="Atkinson Hyperlegible" w:eastAsia="Atkinson Hyperlegible" w:hAnsi="Atkinson Hyperlegible"/>
        <w:color w:val="202C33"/>
        <w:sz w:val="15"/>
        <w:szCs w:val="15"/>
      </w:rPr>
      <w:t xml:space="preserve">reneglobal.tokeneducation.org</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jc w:val="right"/>
    </w:pPr>
    <w:r>
      <w:rPr>
        <w:rFonts w:ascii="Sora" w:cs="Sora" w:eastAsia="Sora" w:hAnsi="Sora"/>
        <w:b/>
        <w:bCs/>
        <w:color w:val="087E8B"/>
        <w:spacing w:val="20"/>
        <w:sz w:val="16"/>
        <w:szCs w:val="16"/>
      </w:rPr>
      <w:t xml:space="preserve">RENÉ </w:t>
    </w:r>
    <w:r>
      <w:rPr>
        <w:rFonts w:ascii="Sora" w:cs="Sora" w:eastAsia="Sora" w:hAnsi="Sora"/>
        <w:b/>
        <w:bCs/>
        <w:color w:val="202C33"/>
        <w:spacing w:val="20"/>
        <w:sz w:val="16"/>
        <w:szCs w:val="16"/>
      </w:rPr>
      <w:t xml:space="preserve">GLOBAL</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tkinson Hyperlegible" w:cs="Atkinson Hyperlegible" w:eastAsia="Atkinson Hyperlegible" w:hAnsi="Atkinson Hyperlegible"/>
        <w:color w:val="202C33"/>
        <w:sz w:val="20"/>
        <w:szCs w:val="20"/>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2026-09-17T21:04:14.023Z</dcterms:created>
  <dcterms:modified xsi:type="dcterms:W3CDTF">2026-09-17T21:04:14.023Z</dcterms:modified>
  <dc:description/>
  <cp:keywords>René Global educational organization tool</cp:keywords>
</cp:coreProperties>
</file>